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феврале 2013 года прокуратурой Серебряно-Прудского муниципального района была проведена проверка соблюдения администрацией Серебряно-Прудского муниципального района Московской области законодательства о размещении заказов на поставки товаров, выполнение работ, оказание услуг для муниципальных нужд, в ходе которой выявлены нарушения закона.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Администрацией Серебряно-Прудского муниципального района было рассмотрено представления от 18.02.2013 №7-1-2013 об устранении нарушений соблюдения администрацией Серебряно-Прудского муниципального района Московской области законодательства о размещении заказов на поставки товаров, выполнение работ, оказание услуг для муниципальных нужд.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рассмотрении </w:t>
      </w:r>
      <w:r>
        <w:rPr>
          <w:sz w:val="28"/>
          <w:szCs w:val="28"/>
          <w:lang w:val="ru-RU"/>
        </w:rPr>
        <w:t>должностное лицо было привлечено к административному штрафу</w:t>
      </w:r>
      <w:r>
        <w:rPr>
          <w:sz w:val="28"/>
          <w:szCs w:val="28"/>
          <w:lang w:val="ru-RU"/>
        </w:rPr>
        <w:t>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